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06AB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Reglamento</w:t>
      </w:r>
      <w:proofErr w:type="spellEnd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sobre </w:t>
      </w:r>
      <w:proofErr w:type="spellStart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Libres de </w:t>
      </w:r>
      <w:proofErr w:type="spellStart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(EUDR)</w:t>
      </w:r>
    </w:p>
    <w:p w14:paraId="7A50C7E0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proveedores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exportan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madera</w:t>
      </w:r>
      <w:proofErr w:type="spellEnd"/>
    </w:p>
    <w:p w14:paraId="0810E306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Versión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junio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2026</w:t>
      </w:r>
    </w:p>
    <w:p w14:paraId="0AE22065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¿Por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recibe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este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documento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2001738C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Nuestra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empresa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importa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72BA85D1" w14:textId="7EEFAECD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A partir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30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diciembre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2026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el </w:t>
      </w:r>
      <w:hyperlink r:id="rId7" w:history="1">
        <w:proofErr w:type="spellStart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>Reglamento</w:t>
        </w:r>
        <w:proofErr w:type="spellEnd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 xml:space="preserve"> de la </w:t>
        </w:r>
        <w:proofErr w:type="spellStart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>Unión</w:t>
        </w:r>
        <w:proofErr w:type="spellEnd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 xml:space="preserve"> </w:t>
        </w:r>
        <w:proofErr w:type="spellStart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>Europea</w:t>
        </w:r>
        <w:proofErr w:type="spellEnd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 xml:space="preserve"> sobre </w:t>
        </w:r>
        <w:proofErr w:type="spellStart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>Productos</w:t>
        </w:r>
        <w:proofErr w:type="spellEnd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 xml:space="preserve"> Libres de </w:t>
        </w:r>
        <w:proofErr w:type="spellStart"/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>Deforestación</w:t>
        </w:r>
        <w:proofErr w:type="spellEnd"/>
      </w:hyperlink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(EUDR)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exigirá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empresas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importan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demostrar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comercializan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mercado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UE:</w:t>
      </w:r>
    </w:p>
    <w:p w14:paraId="78AC9976" w14:textId="77777777" w:rsidR="00636D4F" w:rsidRPr="00636D4F" w:rsidRDefault="00636D4F" w:rsidP="00636D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han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10882B7F" w14:textId="77777777" w:rsidR="00636D4F" w:rsidRPr="00636D4F" w:rsidRDefault="00636D4F" w:rsidP="00636D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libres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52F962B4" w14:textId="77777777" w:rsidR="00636D4F" w:rsidRPr="00636D4F" w:rsidRDefault="00636D4F" w:rsidP="00636D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libres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degradación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desde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31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diciembre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2020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44C7CBD" w14:textId="04230922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Antes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cualquier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importación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estaremos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obligados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un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sistema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diligencia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debida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evaluación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riesgo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)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presentar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Declaración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Diligencia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Debida (DDS)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través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hyperlink r:id="rId8" w:history="1"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del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Sistema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de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Información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de la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Comisión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Europea</w:t>
        </w:r>
        <w:proofErr w:type="spellEnd"/>
      </w:hyperlink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55A4756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Por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ello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su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colaboración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fundamental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justificativa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 nos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permitirán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demostrar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conformidad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sus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continuar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nuestra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relación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comercial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336F7E91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Sin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importar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sus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7574FB9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EUDR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árboles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partir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29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junio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2023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comercializados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mercado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partir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30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diciembre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2026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B9A5E3F" w14:textId="0690B22E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texto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completo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Reglamento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está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disponible </w:t>
      </w:r>
      <w:hyperlink r:id="rId9" w:history="1"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[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aquí</w:t>
        </w:r>
        <w:proofErr w:type="spellEnd"/>
      </w:hyperlink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]. La lista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afectados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figura en el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Anexo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I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7C1E8241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lastRenderedPageBreak/>
        <w:t xml:space="preserve">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acompañados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licencia FLEGT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de un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permiso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CITES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siguen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sujetos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EUDR.</w:t>
      </w:r>
    </w:p>
    <w:p w14:paraId="397802FB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que le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solicitamos</w:t>
      </w:r>
      <w:proofErr w:type="spellEnd"/>
    </w:p>
    <w:p w14:paraId="4C172B5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permitirnos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cumplir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EUDR,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siguiente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exporte:</w:t>
      </w:r>
    </w:p>
    <w:p w14:paraId="2FE60EAE" w14:textId="77777777" w:rsidR="00636D4F" w:rsidRPr="00636D4F" w:rsidRDefault="00636D4F" w:rsidP="00636D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nombre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científico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la(s)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(s)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7CE08E5" w14:textId="77777777" w:rsidR="00636D4F" w:rsidRPr="00636D4F" w:rsidRDefault="00636D4F" w:rsidP="00636D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(y,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)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638114F" w14:textId="77777777" w:rsidR="00636D4F" w:rsidRPr="00636D4F" w:rsidRDefault="00636D4F" w:rsidP="00636D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geográficas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FFCCE8D" w14:textId="77777777" w:rsidR="00636D4F" w:rsidRPr="00636D4F" w:rsidRDefault="00636D4F" w:rsidP="00636D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fecha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período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308CE2AC" w14:textId="77777777" w:rsidR="00636D4F" w:rsidRPr="00636D4F" w:rsidRDefault="00636D4F" w:rsidP="00636D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demuestren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7E0A618" w14:textId="77777777" w:rsidR="00636D4F" w:rsidRPr="00636D4F" w:rsidRDefault="00636D4F" w:rsidP="00636D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demuestren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está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libre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7050B6BD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páginas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siguientes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explican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requiere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especifican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justificativa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podrá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solicitarse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637F7090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Sin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posible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importar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sus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mercancías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podrían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retenidas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autoridades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competentes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lo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podría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dar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lugar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retrasos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costes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almacenamiento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incluso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denegación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importación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B0E208D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1.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Especie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(nombre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científico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)</w:t>
      </w:r>
    </w:p>
    <w:p w14:paraId="58038BB3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EUDR exige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todas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estén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identificadas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precisión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1B134100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¿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proporcionarnos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4CB150DA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nombre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científico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completo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género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especie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)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todas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contenidas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o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puedan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contenidas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9778958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Ejemplos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:</w:t>
      </w:r>
    </w:p>
    <w:p w14:paraId="09DCE01F" w14:textId="77777777" w:rsidR="00636D4F" w:rsidRPr="00636D4F" w:rsidRDefault="00636D4F" w:rsidP="00636D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 xml:space="preserve">Pinus </w:t>
      </w:r>
      <w:proofErr w:type="spellStart"/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>radiata</w:t>
      </w:r>
      <w:proofErr w:type="spellEnd"/>
    </w:p>
    <w:p w14:paraId="798EAEFE" w14:textId="77777777" w:rsidR="00636D4F" w:rsidRPr="00636D4F" w:rsidRDefault="00636D4F" w:rsidP="00636D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 xml:space="preserve">Eucalyptus </w:t>
      </w:r>
      <w:proofErr w:type="spellStart"/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>globulus</w:t>
      </w:r>
      <w:proofErr w:type="spellEnd"/>
    </w:p>
    <w:p w14:paraId="71DC4D2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denominaciones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genéricas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 xml:space="preserve">Pinus </w:t>
      </w:r>
      <w:proofErr w:type="spellStart"/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>spp</w:t>
      </w:r>
      <w:proofErr w:type="spellEnd"/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>.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 xml:space="preserve">Eucalyptus </w:t>
      </w:r>
      <w:proofErr w:type="spellStart"/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>spp</w:t>
      </w:r>
      <w:proofErr w:type="spellEnd"/>
      <w:r w:rsidRPr="00636D4F">
        <w:rPr>
          <w:rFonts w:eastAsia="Times New Roman" w:cs="Times New Roman"/>
          <w:i/>
          <w:iCs/>
          <w:kern w:val="0"/>
          <w:lang w:eastAsia="fr-FR"/>
          <w14:ligatures w14:val="none"/>
        </w:rPr>
        <w:t>.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no son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suficientes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B885C7C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verifique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nombre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científico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indicado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sus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comerciales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corresponde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efectivamente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suministrada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950C502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lastRenderedPageBreak/>
        <w:t>Tenga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cuenta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autoridades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declarada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mediante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análisis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microscópicos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genéticos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1AA2ADE7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2. País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aprovechamiento</w:t>
      </w:r>
      <w:proofErr w:type="spellEnd"/>
    </w:p>
    <w:p w14:paraId="6DF63807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riesgo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puede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variar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otro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incluso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otra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19D05ED4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¿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proporcionarnos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69D2AF46" w14:textId="77777777" w:rsidR="00636D4F" w:rsidRPr="00636D4F" w:rsidRDefault="00636D4F" w:rsidP="00636D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529AFC7A" w14:textId="77777777" w:rsidR="00636D4F" w:rsidRPr="00636D4F" w:rsidRDefault="00636D4F" w:rsidP="00636D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la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región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1ED4AB50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Cuando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varios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regiones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indique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claramente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origen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lote.</w:t>
      </w:r>
    </w:p>
    <w:p w14:paraId="5FBCF17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fr-FR"/>
          <w14:ligatures w14:val="none"/>
        </w:rPr>
      </w:pPr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autoridades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europeas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podrán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el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origen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geográfico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mediante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val="en-US" w:eastAsia="fr-FR"/>
          <w14:ligatures w14:val="none"/>
        </w:rPr>
        <w:t>análisis</w:t>
      </w:r>
      <w:proofErr w:type="spellEnd"/>
      <w:r w:rsidRPr="00636D4F">
        <w:rPr>
          <w:rFonts w:eastAsia="Times New Roman" w:cs="Times New Roman"/>
          <w:b/>
          <w:bCs/>
          <w:kern w:val="0"/>
          <w:lang w:val="en-US"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val="en-US" w:eastAsia="fr-FR"/>
          <w14:ligatures w14:val="none"/>
        </w:rPr>
        <w:t>isotópicos</w:t>
      </w:r>
      <w:proofErr w:type="spellEnd"/>
      <w:r w:rsidRPr="00636D4F">
        <w:rPr>
          <w:rFonts w:eastAsia="Times New Roman" w:cs="Times New Roman"/>
          <w:b/>
          <w:bCs/>
          <w:kern w:val="0"/>
          <w:lang w:val="en-US"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b/>
          <w:bCs/>
          <w:kern w:val="0"/>
          <w:lang w:val="en-US" w:eastAsia="fr-FR"/>
          <w14:ligatures w14:val="none"/>
        </w:rPr>
        <w:t>genéticos</w:t>
      </w:r>
      <w:proofErr w:type="spellEnd"/>
      <w:r w:rsidRPr="00636D4F">
        <w:rPr>
          <w:rFonts w:eastAsia="Times New Roman" w:cs="Times New Roman"/>
          <w:kern w:val="0"/>
          <w:lang w:val="en-US" w:eastAsia="fr-FR"/>
          <w14:ligatures w14:val="none"/>
        </w:rPr>
        <w:t>.</w:t>
      </w:r>
    </w:p>
    <w:p w14:paraId="512B597D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3.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geográficas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las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aprovechamiento</w:t>
      </w:r>
      <w:proofErr w:type="spellEnd"/>
    </w:p>
    <w:p w14:paraId="0714E83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geolocalización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es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obligatorio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EUDR.</w:t>
      </w:r>
    </w:p>
    <w:p w14:paraId="481DCE6A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Permite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Reglamento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3A848E14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¿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proporcionarnos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0A4B5961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geográficas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todas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07B095FD" w14:textId="77777777" w:rsidR="00636D4F" w:rsidRPr="00636D4F" w:rsidRDefault="00636D4F" w:rsidP="00636D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4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hectáreas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menos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: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basta con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único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punto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GPS.</w:t>
      </w:r>
    </w:p>
    <w:p w14:paraId="1C76C3C9" w14:textId="77777777" w:rsidR="00636D4F" w:rsidRPr="00636D4F" w:rsidRDefault="00636D4F" w:rsidP="00636D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más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4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hectáreas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: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requiere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polígono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delimite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perímetro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1341A45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deben:</w:t>
      </w:r>
    </w:p>
    <w:p w14:paraId="5849E7BB" w14:textId="77777777" w:rsidR="00636D4F" w:rsidRPr="00636D4F" w:rsidRDefault="00636D4F" w:rsidP="00636D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expresarse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latitud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longitud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264BDA23" w14:textId="77777777" w:rsidR="00636D4F" w:rsidRPr="00636D4F" w:rsidRDefault="00636D4F" w:rsidP="00636D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incluir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al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menos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seis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decimales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46FC2517" w14:textId="77777777" w:rsidR="00636D4F" w:rsidRPr="00636D4F" w:rsidRDefault="00636D4F" w:rsidP="00636D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facilitarse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posible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formato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GeoJSON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5227BBEC" w14:textId="77777777" w:rsidR="00636D4F" w:rsidRPr="00636D4F" w:rsidRDefault="00636D4F" w:rsidP="00636D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utilizar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sistema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referencia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WGS84 (EPSG:4326)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9611B09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lastRenderedPageBreak/>
        <w:t>Utilizaremos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cumplimentar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nuestra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Declaración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Diligencia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Debida (DDS)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Sistema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Comisión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0CE7AA22" w14:textId="20C997DD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verifique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corresponden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efectivamente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exportada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Cuando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varias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todas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correspondientes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E769552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4.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Fecha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período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aprovechamiento</w:t>
      </w:r>
      <w:proofErr w:type="spellEnd"/>
    </w:p>
    <w:p w14:paraId="164B42C2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EUDR exige que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conozca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fecha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o el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período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Esta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permite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particular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no ha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terrenos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hayan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objeto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degradación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después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31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diciembre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2020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604CC964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¿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proporcionarnos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7CD6F50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facilite:</w:t>
      </w:r>
    </w:p>
    <w:p w14:paraId="5D8285AD" w14:textId="77777777" w:rsidR="00636D4F" w:rsidRPr="00636D4F" w:rsidRDefault="00636D4F" w:rsidP="00636D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fecha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conozca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 o</w:t>
      </w:r>
    </w:p>
    <w:p w14:paraId="734F14FD" w14:textId="77777777" w:rsidR="00636D4F" w:rsidRPr="00636D4F" w:rsidRDefault="00636D4F" w:rsidP="00636D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resulte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más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apropiado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el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período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correspondiente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duración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operaciones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3BE5114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asegure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que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fechas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coherentes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demás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justificativa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facilitada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albaranes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facturas,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transporte, etc.).</w:t>
      </w:r>
    </w:p>
    <w:p w14:paraId="3094AA7B" w14:textId="0720FDC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autoridades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utilizar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herramientas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observación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satélite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operaciones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son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coherentes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declarada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25CFFE2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5.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Pruebas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forestal</w:t>
      </w:r>
      <w:proofErr w:type="spellEnd"/>
    </w:p>
    <w:p w14:paraId="54D15AB7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EUDR exige que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haya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conformidad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legislación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7E92019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Dicha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legislación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comprende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particular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:</w:t>
      </w:r>
    </w:p>
    <w:p w14:paraId="4254A36D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derechos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tenencia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tierra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los derechos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440E59D9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protección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medio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ambiente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7599BE15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lastRenderedPageBreak/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gestión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conservación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biodiversidad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estén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directamente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relacionadas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261E2D2F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derechos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terceros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6EB819CC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derechos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laborales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27C28A04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derechos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humanos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reconocidos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internacionalmente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6D358C4C" w14:textId="78105118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principio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Consentimiento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Libre,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Previo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Informado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(FPIC)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3A543F70" w14:textId="77777777" w:rsidR="00636D4F" w:rsidRPr="00636D4F" w:rsidRDefault="00636D4F" w:rsidP="00636D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legislación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fiscal,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aduanera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de lucha contra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corrupción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D128108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¿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proporcionarnos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59ECE579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requerida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dependerá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de:</w:t>
      </w:r>
    </w:p>
    <w:p w14:paraId="702C3D6D" w14:textId="77777777" w:rsidR="00636D4F" w:rsidRPr="00636D4F" w:rsidRDefault="00636D4F" w:rsidP="00636D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legislación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6C3D8312" w14:textId="77777777" w:rsidR="00636D4F" w:rsidRPr="00636D4F" w:rsidRDefault="00636D4F" w:rsidP="00636D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riesgos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identificados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su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cadena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suministro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0EDA28C7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todos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son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necesariamente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pertinentes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todas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situaciones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Por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ejemplo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donde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existan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indicios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ilegal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ni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riesgos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particulares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materia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posible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necesario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aportar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determinados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justificativos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adicionales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625B08AC" w14:textId="71E2B509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ayudarle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identificar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así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principales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pueden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solicitados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invitamos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consultar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fichas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hyperlink r:id="rId10" w:history="1">
        <w:r w:rsidRPr="00636D4F">
          <w:rPr>
            <w:rStyle w:val="Lienhypertexte"/>
            <w:rFonts w:eastAsia="Times New Roman" w:cs="Times New Roman"/>
            <w:b/>
            <w:bCs/>
            <w:kern w:val="0"/>
            <w:lang w:eastAsia="fr-FR"/>
            <w14:ligatures w14:val="none"/>
          </w:rPr>
          <w:t>Timber Trade Portal</w:t>
        </w:r>
      </w:hyperlink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fichas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describen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marco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jurídico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los principales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esenciales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sector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9689908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Si su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gestión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su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cadena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suministro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cubiertas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sistema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reconocido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independiente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certificación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FSC®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PEFC™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),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facilite:</w:t>
      </w:r>
    </w:p>
    <w:p w14:paraId="1CC3ACFD" w14:textId="77777777" w:rsidR="00636D4F" w:rsidRPr="00636D4F" w:rsidRDefault="00636D4F" w:rsidP="00636D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copias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certificados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correspondientes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19D01AAA" w14:textId="77777777" w:rsidR="00636D4F" w:rsidRPr="00636D4F" w:rsidRDefault="00636D4F" w:rsidP="00636D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informes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públicos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auditoría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5F9B9A70" w14:textId="77777777" w:rsidR="00636D4F" w:rsidRPr="00636D4F" w:rsidRDefault="00636D4F" w:rsidP="00636D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número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certificado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indicado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tanto en la factura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albarán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entrega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6F809ABE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muchos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casos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sistemas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certificación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pueden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aportar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parte importante de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pruebas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necesarias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demostrar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tanto,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reducir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cantidad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adicional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solicitar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obstante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seguiremos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teniendo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certificación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cubre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adecuadamente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que no se ha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identificado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ningún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riesgo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específico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33BD65F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lastRenderedPageBreak/>
        <w:t xml:space="preserve">Cuando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necesaria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adicional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podremos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solicitarle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entre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otros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siguientes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:</w:t>
      </w:r>
    </w:p>
    <w:p w14:paraId="03FE2AE0" w14:textId="77777777" w:rsidR="00636D4F" w:rsidRPr="00636D4F" w:rsidRDefault="00636D4F" w:rsidP="00636D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permisos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licencias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48BF7AF0" w14:textId="77777777" w:rsidR="00636D4F" w:rsidRPr="00636D4F" w:rsidRDefault="00636D4F" w:rsidP="00636D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relativos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concesiones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derechos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tenencia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tierra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74DC1F6D" w14:textId="77777777" w:rsidR="00636D4F" w:rsidRPr="00636D4F" w:rsidRDefault="00636D4F" w:rsidP="00636D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oficiales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transporte;</w:t>
      </w:r>
    </w:p>
    <w:p w14:paraId="3BAE9B6C" w14:textId="77777777" w:rsidR="00636D4F" w:rsidRPr="00636D4F" w:rsidRDefault="00636D4F" w:rsidP="00636D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fiscales 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aduaneros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348D5DC5" w14:textId="77777777" w:rsidR="00636D4F" w:rsidRPr="00636D4F" w:rsidRDefault="00636D4F" w:rsidP="00636D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demuestren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respeto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los derechos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trabajadores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de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comunidades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locales o de los pueblos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indígenas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2E5318BF" w14:textId="77777777" w:rsidR="00636D4F" w:rsidRPr="00636D4F" w:rsidRDefault="00636D4F" w:rsidP="00636D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cualquier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otro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exigido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legislación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país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4E92A7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rogamos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asimismo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garanticen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trazabilidad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desde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hasta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exportado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(facturas,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albaranes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transporte, etc.).</w:t>
      </w:r>
    </w:p>
    <w:p w14:paraId="400F9B62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Estos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deberán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coherentes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con:</w:t>
      </w:r>
    </w:p>
    <w:p w14:paraId="31C8CB41" w14:textId="77777777" w:rsidR="00636D4F" w:rsidRPr="00636D4F" w:rsidRDefault="00636D4F" w:rsidP="00636D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especies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declaradas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7F2A4F7B" w14:textId="77777777" w:rsidR="00636D4F" w:rsidRPr="00636D4F" w:rsidRDefault="00636D4F" w:rsidP="00636D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volúmenes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exportados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15381DD8" w14:textId="77777777" w:rsidR="00636D4F" w:rsidRPr="00636D4F" w:rsidRDefault="00636D4F" w:rsidP="00636D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fechas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24DD9A32" w14:textId="77777777" w:rsidR="00636D4F" w:rsidRPr="00636D4F" w:rsidRDefault="00636D4F" w:rsidP="00636D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correspondientes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647148E1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Nota: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acompañada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licencia FLEGT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válida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considera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conforme con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legalidad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EUDR.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obstante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ello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exime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cumplimiento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demás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Reglamento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particular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relativos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condición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libre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a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diligencia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debida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A3DFF58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6.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Pruebas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cumplimiento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requisito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producto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libre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deforestación</w:t>
      </w:r>
      <w:proofErr w:type="spellEnd"/>
    </w:p>
    <w:p w14:paraId="47799EDF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El EUDR exige que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comercializados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mercado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:</w:t>
      </w:r>
    </w:p>
    <w:p w14:paraId="1FD0AAEE" w14:textId="77777777" w:rsidR="00636D4F" w:rsidRPr="00636D4F" w:rsidRDefault="00636D4F" w:rsidP="00636D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estén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libres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 y</w:t>
      </w:r>
    </w:p>
    <w:p w14:paraId="233A1EBD" w14:textId="77777777" w:rsidR="00636D4F" w:rsidRPr="00636D4F" w:rsidRDefault="00636D4F" w:rsidP="00636D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madera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estén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libres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degradación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después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31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diciembre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2020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07BA0DEF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poder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demostrar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cumplimiento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antes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importar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cualquier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07B53211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¿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Qué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proporcionarnos</w:t>
      </w:r>
      <w:proofErr w:type="spellEnd"/>
      <w:r w:rsidRPr="00636D4F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4D4E580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lastRenderedPageBreak/>
        <w:t xml:space="preserve">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geográficas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constituyen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fundamental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verificar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conformidad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zonas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1947BBB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Si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ya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dispone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demuestre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EUDR, 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invitamos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facilitárnosla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485B97B0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Dicha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puede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incluir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particular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:</w:t>
      </w:r>
    </w:p>
    <w:p w14:paraId="7CD72435" w14:textId="77777777" w:rsidR="00636D4F" w:rsidRPr="00636D4F" w:rsidRDefault="00636D4F" w:rsidP="00636D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análisis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imágenes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satélite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u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otras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pruebas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obtenidas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mediante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teledetección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64950D52" w14:textId="77777777" w:rsidR="00636D4F" w:rsidRPr="00636D4F" w:rsidRDefault="00636D4F" w:rsidP="00636D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planes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gestión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452CFD99" w14:textId="77777777" w:rsidR="00636D4F" w:rsidRPr="00636D4F" w:rsidRDefault="00636D4F" w:rsidP="00636D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demuestren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regeneración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bosque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gestión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sostenible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tras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6A09A541" w14:textId="77777777" w:rsidR="00636D4F" w:rsidRPr="00636D4F" w:rsidRDefault="00636D4F" w:rsidP="00636D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informes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auditoría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0F15A42E" w14:textId="77777777" w:rsidR="00636D4F" w:rsidRPr="00636D4F" w:rsidRDefault="00636D4F" w:rsidP="00636D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certificados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FSC®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PEFC™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;</w:t>
      </w:r>
    </w:p>
    <w:p w14:paraId="4C482BF6" w14:textId="77777777" w:rsidR="00636D4F" w:rsidRPr="00636D4F" w:rsidRDefault="00636D4F" w:rsidP="00636D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cualquier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otra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fiable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demuestre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no han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objeto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ni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degradación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forestal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después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31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diciembre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 2020</w:t>
      </w:r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07CB5F80" w14:textId="2C0698F5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En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caso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procedentes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hyperlink r:id="rId11" w:history="1"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de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países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clasificados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por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la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Unión</w:t>
        </w:r>
        <w:proofErr w:type="spellEnd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 xml:space="preserve"> </w:t>
        </w:r>
        <w:proofErr w:type="spellStart"/>
        <w:r w:rsidRPr="00636D4F">
          <w:rPr>
            <w:rStyle w:val="Lienhypertexte"/>
            <w:rFonts w:eastAsia="Times New Roman" w:cs="Times New Roman"/>
            <w:kern w:val="0"/>
            <w:lang w:eastAsia="fr-FR"/>
            <w14:ligatures w14:val="none"/>
          </w:rPr>
          <w:t>Europea</w:t>
        </w:r>
        <w:proofErr w:type="spellEnd"/>
      </w:hyperlink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bajo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riesgo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el EUDR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prevé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procedimiento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simplificado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diligencia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debida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obstante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coordenadas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geográficas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parcelas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aprovechamiento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siguen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siendo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obligatorias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debemos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tener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cuenta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cualquier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creíble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indique un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posible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riesgo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incumplimiento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201B70E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Cuanto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más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completa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precisa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fiable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nos facilite,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más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fácil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nos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resultará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demostrar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conformidad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sus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el EUDR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reducir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mínimo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las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solicitudes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adicional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7B252BC6" w14:textId="2A1247C5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Si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tiene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alguna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pregunta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sobre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o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justificativa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que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debe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proporcionar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no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dude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ponerse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contacto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con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nosotros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Quedamos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su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disposición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ayudarle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en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aplicación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estos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nuevos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>.</w:t>
      </w:r>
    </w:p>
    <w:p w14:paraId="5C0D54B9" w14:textId="77777777" w:rsidR="00636D4F" w:rsidRPr="00636D4F" w:rsidRDefault="00636D4F" w:rsidP="00636D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Acuse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de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recibo</w:t>
      </w:r>
      <w:proofErr w:type="spellEnd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compromiso</w:t>
      </w:r>
      <w:proofErr w:type="spellEnd"/>
    </w:p>
    <w:p w14:paraId="0678188C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Por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presente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acuso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recibo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presente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me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comprometo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proporcionar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según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mi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leal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saber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entender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,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información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y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documentación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justificativa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necesarias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para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permitir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el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cumplimiento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los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requisitos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Reglamento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de la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Unión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Europea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sobre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Productos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Libres de </w:t>
      </w:r>
      <w:proofErr w:type="spellStart"/>
      <w:r w:rsidRPr="00636D4F">
        <w:rPr>
          <w:rFonts w:eastAsia="Times New Roman" w:cs="Times New Roman"/>
          <w:kern w:val="0"/>
          <w:lang w:eastAsia="fr-FR"/>
          <w14:ligatures w14:val="none"/>
        </w:rPr>
        <w:t>Deforestación</w:t>
      </w:r>
      <w:proofErr w:type="spellEnd"/>
      <w:r w:rsidRPr="00636D4F">
        <w:rPr>
          <w:rFonts w:eastAsia="Times New Roman" w:cs="Times New Roman"/>
          <w:kern w:val="0"/>
          <w:lang w:eastAsia="fr-FR"/>
          <w14:ligatures w14:val="none"/>
        </w:rPr>
        <w:t xml:space="preserve"> (EUDR).</w:t>
      </w:r>
    </w:p>
    <w:p w14:paraId="48527672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Nombre y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firma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del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representante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autorizado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:</w:t>
      </w:r>
    </w:p>
    <w:p w14:paraId="1E96C71D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>..............................................................</w:t>
      </w:r>
    </w:p>
    <w:p w14:paraId="196152E4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proofErr w:type="spellStart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lastRenderedPageBreak/>
        <w:t>Fecha</w:t>
      </w:r>
      <w:proofErr w:type="spellEnd"/>
      <w:r w:rsidRPr="00636D4F">
        <w:rPr>
          <w:rFonts w:eastAsia="Times New Roman" w:cs="Times New Roman"/>
          <w:b/>
          <w:bCs/>
          <w:kern w:val="0"/>
          <w:lang w:eastAsia="fr-FR"/>
          <w14:ligatures w14:val="none"/>
        </w:rPr>
        <w:t>:</w:t>
      </w:r>
    </w:p>
    <w:p w14:paraId="45B5C6E0" w14:textId="77777777" w:rsidR="00636D4F" w:rsidRPr="00636D4F" w:rsidRDefault="00636D4F" w:rsidP="00636D4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636D4F">
        <w:rPr>
          <w:rFonts w:eastAsia="Times New Roman" w:cs="Times New Roman"/>
          <w:kern w:val="0"/>
          <w:lang w:eastAsia="fr-FR"/>
          <w14:ligatures w14:val="none"/>
        </w:rPr>
        <w:t>..............................................................</w:t>
      </w:r>
    </w:p>
    <w:p w14:paraId="2CC2E817" w14:textId="77777777" w:rsidR="004C49EE" w:rsidRPr="00636D4F" w:rsidRDefault="004C49EE">
      <w:pPr>
        <w:rPr>
          <w:lang w:val="en-US"/>
        </w:rPr>
      </w:pPr>
    </w:p>
    <w:sectPr w:rsidR="004C49EE" w:rsidRPr="00636D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8D9E" w14:textId="77777777" w:rsidR="00C333A9" w:rsidRDefault="00C333A9" w:rsidP="001F47C8">
      <w:pPr>
        <w:spacing w:after="0" w:line="240" w:lineRule="auto"/>
      </w:pPr>
      <w:r>
        <w:separator/>
      </w:r>
    </w:p>
  </w:endnote>
  <w:endnote w:type="continuationSeparator" w:id="0">
    <w:p w14:paraId="349CC97E" w14:textId="77777777" w:rsidR="00C333A9" w:rsidRDefault="00C333A9" w:rsidP="001F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36E1" w14:textId="77777777" w:rsidR="001F47C8" w:rsidRDefault="001F47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2722" w14:textId="77777777" w:rsidR="001F47C8" w:rsidRDefault="001F47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DFFD" w14:textId="77777777" w:rsidR="001F47C8" w:rsidRDefault="001F47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1CB7" w14:textId="77777777" w:rsidR="00C333A9" w:rsidRDefault="00C333A9" w:rsidP="001F47C8">
      <w:pPr>
        <w:spacing w:after="0" w:line="240" w:lineRule="auto"/>
      </w:pPr>
      <w:r>
        <w:separator/>
      </w:r>
    </w:p>
  </w:footnote>
  <w:footnote w:type="continuationSeparator" w:id="0">
    <w:p w14:paraId="1D472A31" w14:textId="77777777" w:rsidR="00C333A9" w:rsidRDefault="00C333A9" w:rsidP="001F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A846" w14:textId="77777777" w:rsidR="001F47C8" w:rsidRDefault="001F47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832A" w14:textId="7F8B519E" w:rsidR="001F47C8" w:rsidRDefault="001F47C8">
    <w:pPr>
      <w:pStyle w:val="En-tte"/>
    </w:pPr>
    <w:r w:rsidRPr="00B17B38">
      <w:rPr>
        <w:noProof/>
      </w:rPr>
      <w:drawing>
        <wp:inline distT="0" distB="0" distL="0" distR="0" wp14:anchorId="5DE3ACE3" wp14:editId="026C6998">
          <wp:extent cx="1628775" cy="841716"/>
          <wp:effectExtent l="0" t="0" r="0" b="0"/>
          <wp:docPr id="1344348543" name="Image 1" descr="Une image contenant Graphique, logo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48543" name="Image 1" descr="Une image contenant Graphique, logo, Polic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008" cy="84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0D0873A" wp14:editId="0AE0C2B8">
          <wp:extent cx="2162175" cy="1064165"/>
          <wp:effectExtent l="0" t="0" r="0" b="3175"/>
          <wp:docPr id="49389860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898600" name="Image 4938986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174" cy="10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A90D" w14:textId="77777777" w:rsidR="001F47C8" w:rsidRDefault="001F47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C81"/>
    <w:multiLevelType w:val="multilevel"/>
    <w:tmpl w:val="6FB2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4BE1"/>
    <w:multiLevelType w:val="multilevel"/>
    <w:tmpl w:val="71B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B86"/>
    <w:multiLevelType w:val="multilevel"/>
    <w:tmpl w:val="178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56C96"/>
    <w:multiLevelType w:val="multilevel"/>
    <w:tmpl w:val="0CF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34C39"/>
    <w:multiLevelType w:val="multilevel"/>
    <w:tmpl w:val="F0A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62F88"/>
    <w:multiLevelType w:val="multilevel"/>
    <w:tmpl w:val="4EB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A4F82"/>
    <w:multiLevelType w:val="multilevel"/>
    <w:tmpl w:val="F5B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65F2E"/>
    <w:multiLevelType w:val="multilevel"/>
    <w:tmpl w:val="79A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C3152"/>
    <w:multiLevelType w:val="multilevel"/>
    <w:tmpl w:val="9F52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63AA6"/>
    <w:multiLevelType w:val="multilevel"/>
    <w:tmpl w:val="709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96B7A"/>
    <w:multiLevelType w:val="multilevel"/>
    <w:tmpl w:val="D31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118D8"/>
    <w:multiLevelType w:val="multilevel"/>
    <w:tmpl w:val="B3A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F273D"/>
    <w:multiLevelType w:val="multilevel"/>
    <w:tmpl w:val="274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942E1"/>
    <w:multiLevelType w:val="multilevel"/>
    <w:tmpl w:val="0CD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F25B9"/>
    <w:multiLevelType w:val="multilevel"/>
    <w:tmpl w:val="AD7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B6EF4"/>
    <w:multiLevelType w:val="multilevel"/>
    <w:tmpl w:val="CDF0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B4C18"/>
    <w:multiLevelType w:val="multilevel"/>
    <w:tmpl w:val="E55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811FD"/>
    <w:multiLevelType w:val="multilevel"/>
    <w:tmpl w:val="751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B51C3"/>
    <w:multiLevelType w:val="multilevel"/>
    <w:tmpl w:val="FE46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C40A3"/>
    <w:multiLevelType w:val="multilevel"/>
    <w:tmpl w:val="C680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D279B"/>
    <w:multiLevelType w:val="multilevel"/>
    <w:tmpl w:val="546C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C5A3A"/>
    <w:multiLevelType w:val="multilevel"/>
    <w:tmpl w:val="787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E0748"/>
    <w:multiLevelType w:val="multilevel"/>
    <w:tmpl w:val="F3B4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90AD3"/>
    <w:multiLevelType w:val="multilevel"/>
    <w:tmpl w:val="D80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66AF6"/>
    <w:multiLevelType w:val="multilevel"/>
    <w:tmpl w:val="7E8E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C3474"/>
    <w:multiLevelType w:val="multilevel"/>
    <w:tmpl w:val="1D3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87C99"/>
    <w:multiLevelType w:val="multilevel"/>
    <w:tmpl w:val="7AC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A7775"/>
    <w:multiLevelType w:val="multilevel"/>
    <w:tmpl w:val="3240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377786">
    <w:abstractNumId w:val="17"/>
  </w:num>
  <w:num w:numId="2" w16cid:durableId="235012755">
    <w:abstractNumId w:val="8"/>
  </w:num>
  <w:num w:numId="3" w16cid:durableId="471366437">
    <w:abstractNumId w:val="25"/>
  </w:num>
  <w:num w:numId="4" w16cid:durableId="357121031">
    <w:abstractNumId w:val="5"/>
  </w:num>
  <w:num w:numId="5" w16cid:durableId="861629669">
    <w:abstractNumId w:val="0"/>
  </w:num>
  <w:num w:numId="6" w16cid:durableId="316692126">
    <w:abstractNumId w:val="21"/>
  </w:num>
  <w:num w:numId="7" w16cid:durableId="1191728145">
    <w:abstractNumId w:val="9"/>
  </w:num>
  <w:num w:numId="8" w16cid:durableId="232588938">
    <w:abstractNumId w:val="1"/>
  </w:num>
  <w:num w:numId="9" w16cid:durableId="1565994812">
    <w:abstractNumId w:val="3"/>
  </w:num>
  <w:num w:numId="10" w16cid:durableId="581178468">
    <w:abstractNumId w:val="10"/>
  </w:num>
  <w:num w:numId="11" w16cid:durableId="206068426">
    <w:abstractNumId w:val="23"/>
  </w:num>
  <w:num w:numId="12" w16cid:durableId="1917203391">
    <w:abstractNumId w:val="11"/>
  </w:num>
  <w:num w:numId="13" w16cid:durableId="2088379538">
    <w:abstractNumId w:val="16"/>
  </w:num>
  <w:num w:numId="14" w16cid:durableId="1707947468">
    <w:abstractNumId w:val="14"/>
  </w:num>
  <w:num w:numId="15" w16cid:durableId="1707490234">
    <w:abstractNumId w:val="26"/>
  </w:num>
  <w:num w:numId="16" w16cid:durableId="1567185196">
    <w:abstractNumId w:val="27"/>
  </w:num>
  <w:num w:numId="17" w16cid:durableId="402220502">
    <w:abstractNumId w:val="12"/>
  </w:num>
  <w:num w:numId="18" w16cid:durableId="587613645">
    <w:abstractNumId w:val="2"/>
  </w:num>
  <w:num w:numId="19" w16cid:durableId="253979916">
    <w:abstractNumId w:val="22"/>
  </w:num>
  <w:num w:numId="20" w16cid:durableId="1873761875">
    <w:abstractNumId w:val="15"/>
  </w:num>
  <w:num w:numId="21" w16cid:durableId="358164497">
    <w:abstractNumId w:val="24"/>
  </w:num>
  <w:num w:numId="22" w16cid:durableId="550769281">
    <w:abstractNumId w:val="19"/>
  </w:num>
  <w:num w:numId="23" w16cid:durableId="1092386539">
    <w:abstractNumId w:val="4"/>
  </w:num>
  <w:num w:numId="24" w16cid:durableId="1379401828">
    <w:abstractNumId w:val="20"/>
  </w:num>
  <w:num w:numId="25" w16cid:durableId="989602354">
    <w:abstractNumId w:val="7"/>
  </w:num>
  <w:num w:numId="26" w16cid:durableId="1924139201">
    <w:abstractNumId w:val="6"/>
  </w:num>
  <w:num w:numId="27" w16cid:durableId="204409283">
    <w:abstractNumId w:val="18"/>
  </w:num>
  <w:num w:numId="28" w16cid:durableId="1165241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E"/>
    <w:rsid w:val="00196C71"/>
    <w:rsid w:val="001F47C8"/>
    <w:rsid w:val="004C49EE"/>
    <w:rsid w:val="006166B2"/>
    <w:rsid w:val="00636D4F"/>
    <w:rsid w:val="00A906B9"/>
    <w:rsid w:val="00C3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88DB"/>
  <w15:chartTrackingRefBased/>
  <w15:docId w15:val="{CA8673F0-7D82-42FE-A61F-35BC44D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4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4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4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4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4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4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4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4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4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4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49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49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49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49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49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49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4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4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4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49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49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49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4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49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49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C49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9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F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7C8"/>
  </w:style>
  <w:style w:type="paragraph" w:styleId="Pieddepage">
    <w:name w:val="footer"/>
    <w:basedOn w:val="Normal"/>
    <w:link w:val="PieddepageCar"/>
    <w:uiPriority w:val="99"/>
    <w:unhideWhenUsed/>
    <w:rsid w:val="001F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-forum.ec.europa.eu/nature-and-biodiversity/deforestation-regulation-implementation/information-system-deforestation-regulation_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vironment.ec.europa.eu/topics/forests/deforestation/regulation-deforestation-free-products_e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vironment.ec.europa.eu/publications/commission-implementing-regulation-laying-down-rules-application-deforestation-regulation_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imbertradeportal.com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23R1115-20251226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1954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Bois</dc:creator>
  <cp:keywords/>
  <dc:description/>
  <cp:lastModifiedBy>Commerce Bois</cp:lastModifiedBy>
  <cp:revision>3</cp:revision>
  <dcterms:created xsi:type="dcterms:W3CDTF">2026-06-25T19:18:00Z</dcterms:created>
  <dcterms:modified xsi:type="dcterms:W3CDTF">2026-06-25T19:48:00Z</dcterms:modified>
</cp:coreProperties>
</file>